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0EB40" w14:textId="77777777" w:rsidR="001A12FE" w:rsidRDefault="001A12FE" w:rsidP="00EA5106">
      <w:pPr>
        <w:spacing w:line="480" w:lineRule="auto"/>
        <w:ind w:firstLine="720"/>
        <w:contextualSpacing/>
        <w:rPr>
          <w:rFonts w:ascii="Times New Roman" w:hAnsi="Times New Roman" w:cs="Times New Roman"/>
          <w:sz w:val="24"/>
          <w:szCs w:val="24"/>
        </w:rPr>
      </w:pPr>
    </w:p>
    <w:p w14:paraId="301D27C2" w14:textId="77777777" w:rsidR="001A12FE" w:rsidRDefault="001A12FE" w:rsidP="001A12FE">
      <w:pPr>
        <w:jc w:val="center"/>
        <w:rPr>
          <w:rFonts w:ascii="Times New Roman" w:hAnsi="Times New Roman" w:cs="Times New Roman"/>
          <w:sz w:val="24"/>
          <w:szCs w:val="24"/>
        </w:rPr>
      </w:pPr>
    </w:p>
    <w:p w14:paraId="13952371" w14:textId="77777777" w:rsidR="001A12FE" w:rsidRDefault="001A12FE" w:rsidP="001A12FE">
      <w:pPr>
        <w:jc w:val="center"/>
        <w:rPr>
          <w:rFonts w:ascii="Times New Roman" w:hAnsi="Times New Roman" w:cs="Times New Roman"/>
          <w:sz w:val="24"/>
          <w:szCs w:val="24"/>
        </w:rPr>
      </w:pPr>
    </w:p>
    <w:p w14:paraId="768697AE" w14:textId="77777777" w:rsidR="001A12FE" w:rsidRDefault="001A12FE" w:rsidP="001A12FE">
      <w:pPr>
        <w:jc w:val="center"/>
        <w:rPr>
          <w:rFonts w:ascii="Times New Roman" w:hAnsi="Times New Roman" w:cs="Times New Roman"/>
          <w:sz w:val="24"/>
          <w:szCs w:val="24"/>
        </w:rPr>
      </w:pPr>
    </w:p>
    <w:p w14:paraId="5BB84549" w14:textId="77777777" w:rsidR="001A12FE" w:rsidRDefault="001A12FE" w:rsidP="001A12FE">
      <w:pPr>
        <w:jc w:val="center"/>
        <w:rPr>
          <w:rFonts w:ascii="Times New Roman" w:hAnsi="Times New Roman" w:cs="Times New Roman"/>
          <w:sz w:val="24"/>
          <w:szCs w:val="24"/>
        </w:rPr>
      </w:pPr>
    </w:p>
    <w:p w14:paraId="0548BF5D" w14:textId="77777777" w:rsidR="001A12FE" w:rsidRDefault="001A12FE" w:rsidP="001A12FE">
      <w:pPr>
        <w:jc w:val="center"/>
        <w:rPr>
          <w:rFonts w:ascii="Times New Roman" w:hAnsi="Times New Roman" w:cs="Times New Roman"/>
          <w:sz w:val="24"/>
          <w:szCs w:val="24"/>
        </w:rPr>
      </w:pPr>
    </w:p>
    <w:p w14:paraId="4481653A" w14:textId="77777777" w:rsidR="001A12FE" w:rsidRDefault="001A12FE" w:rsidP="001A12FE">
      <w:pPr>
        <w:jc w:val="center"/>
        <w:rPr>
          <w:rFonts w:ascii="Times New Roman" w:hAnsi="Times New Roman" w:cs="Times New Roman"/>
          <w:sz w:val="24"/>
          <w:szCs w:val="24"/>
        </w:rPr>
      </w:pPr>
    </w:p>
    <w:p w14:paraId="50BC4A69" w14:textId="77777777" w:rsidR="001A12FE" w:rsidRDefault="001A12FE" w:rsidP="001A12FE">
      <w:pPr>
        <w:jc w:val="center"/>
        <w:rPr>
          <w:rFonts w:ascii="Times New Roman" w:hAnsi="Times New Roman" w:cs="Times New Roman"/>
          <w:sz w:val="24"/>
          <w:szCs w:val="24"/>
        </w:rPr>
      </w:pPr>
    </w:p>
    <w:p w14:paraId="5086A092" w14:textId="77777777" w:rsidR="001A12FE" w:rsidRDefault="001A12FE" w:rsidP="001A12FE">
      <w:pPr>
        <w:jc w:val="center"/>
        <w:rPr>
          <w:rFonts w:ascii="Times New Roman" w:hAnsi="Times New Roman" w:cs="Times New Roman"/>
          <w:sz w:val="24"/>
          <w:szCs w:val="24"/>
        </w:rPr>
      </w:pPr>
    </w:p>
    <w:p w14:paraId="1C2D5C0F" w14:textId="77777777" w:rsidR="001A12FE" w:rsidRPr="00C55CFE" w:rsidRDefault="001A12FE" w:rsidP="001A12FE">
      <w:pPr>
        <w:jc w:val="center"/>
        <w:rPr>
          <w:rFonts w:ascii="Times New Roman" w:hAnsi="Times New Roman" w:cs="Times New Roman"/>
          <w:color w:val="000000" w:themeColor="text1"/>
          <w:sz w:val="24"/>
          <w:szCs w:val="24"/>
        </w:rPr>
      </w:pPr>
    </w:p>
    <w:p w14:paraId="5273B636" w14:textId="77777777" w:rsidR="00C55CFE" w:rsidRPr="00C55CFE" w:rsidRDefault="00C55CFE" w:rsidP="004D0182">
      <w:pPr>
        <w:jc w:val="center"/>
        <w:rPr>
          <w:rFonts w:ascii="Times New Roman" w:hAnsi="Times New Roman" w:cs="Times New Roman"/>
          <w:color w:val="000000" w:themeColor="text1"/>
          <w:sz w:val="24"/>
          <w:szCs w:val="24"/>
          <w:shd w:val="clear" w:color="auto" w:fill="FFFFFF"/>
        </w:rPr>
      </w:pPr>
      <w:r w:rsidRPr="00C55CFE">
        <w:rPr>
          <w:rFonts w:ascii="Times New Roman" w:hAnsi="Times New Roman" w:cs="Times New Roman"/>
          <w:color w:val="000000" w:themeColor="text1"/>
          <w:sz w:val="24"/>
          <w:szCs w:val="24"/>
          <w:shd w:val="clear" w:color="auto" w:fill="FFFFFF"/>
        </w:rPr>
        <w:t>Understanding Adult Learning Theories </w:t>
      </w:r>
    </w:p>
    <w:p w14:paraId="0CA4C299" w14:textId="72F8EB9C" w:rsidR="004D0182" w:rsidRPr="004D0182" w:rsidRDefault="004D0182" w:rsidP="004D0182">
      <w:pPr>
        <w:jc w:val="center"/>
        <w:rPr>
          <w:rFonts w:ascii="Times New Roman" w:hAnsi="Times New Roman" w:cs="Times New Roman"/>
          <w:sz w:val="24"/>
          <w:szCs w:val="24"/>
        </w:rPr>
      </w:pPr>
      <w:r w:rsidRPr="004D0182">
        <w:rPr>
          <w:rFonts w:ascii="Times New Roman" w:hAnsi="Times New Roman" w:cs="Times New Roman"/>
          <w:sz w:val="24"/>
          <w:szCs w:val="24"/>
        </w:rPr>
        <w:t>Name of Student</w:t>
      </w:r>
    </w:p>
    <w:p w14:paraId="75F1D30C" w14:textId="27CA1D0A" w:rsidR="001A12FE" w:rsidRDefault="004D0182" w:rsidP="004D0182">
      <w:pPr>
        <w:jc w:val="center"/>
        <w:rPr>
          <w:rFonts w:ascii="Times New Roman" w:hAnsi="Times New Roman" w:cs="Times New Roman"/>
          <w:sz w:val="24"/>
          <w:szCs w:val="24"/>
        </w:rPr>
      </w:pPr>
      <w:r w:rsidRPr="004D0182">
        <w:rPr>
          <w:rFonts w:ascii="Times New Roman" w:hAnsi="Times New Roman" w:cs="Times New Roman"/>
          <w:sz w:val="24"/>
          <w:szCs w:val="24"/>
        </w:rPr>
        <w:t>Institutional Affiliation</w:t>
      </w:r>
      <w:r w:rsidR="001A12FE">
        <w:rPr>
          <w:rFonts w:ascii="Times New Roman" w:hAnsi="Times New Roman" w:cs="Times New Roman"/>
          <w:sz w:val="24"/>
          <w:szCs w:val="24"/>
        </w:rPr>
        <w:br w:type="page"/>
      </w:r>
    </w:p>
    <w:p w14:paraId="07E6D0A1" w14:textId="77777777" w:rsidR="00C55CFE" w:rsidRPr="00C55CFE" w:rsidRDefault="00C55CFE" w:rsidP="00C55CFE">
      <w:pPr>
        <w:jc w:val="center"/>
        <w:rPr>
          <w:rFonts w:ascii="Times New Roman" w:hAnsi="Times New Roman" w:cs="Times New Roman"/>
          <w:color w:val="000000" w:themeColor="text1"/>
          <w:sz w:val="24"/>
          <w:szCs w:val="24"/>
          <w:shd w:val="clear" w:color="auto" w:fill="FFFFFF"/>
        </w:rPr>
      </w:pPr>
      <w:r w:rsidRPr="00C55CFE">
        <w:rPr>
          <w:rFonts w:ascii="Times New Roman" w:hAnsi="Times New Roman" w:cs="Times New Roman"/>
          <w:color w:val="000000" w:themeColor="text1"/>
          <w:sz w:val="24"/>
          <w:szCs w:val="24"/>
          <w:shd w:val="clear" w:color="auto" w:fill="FFFFFF"/>
        </w:rPr>
        <w:lastRenderedPageBreak/>
        <w:t>Understanding Adult Learning Theories </w:t>
      </w:r>
    </w:p>
    <w:p w14:paraId="62B7E2B6" w14:textId="3CADE332" w:rsidR="00EA5106" w:rsidRPr="00EA5106" w:rsidRDefault="00EA5106" w:rsidP="00C55CFE">
      <w:pPr>
        <w:spacing w:line="480" w:lineRule="auto"/>
        <w:contextualSpacing/>
        <w:rPr>
          <w:rFonts w:ascii="Times New Roman" w:hAnsi="Times New Roman" w:cs="Times New Roman"/>
          <w:sz w:val="24"/>
          <w:szCs w:val="24"/>
        </w:rPr>
      </w:pPr>
      <w:bookmarkStart w:id="0" w:name="_GoBack"/>
      <w:bookmarkEnd w:id="0"/>
      <w:r w:rsidRPr="00EA5106">
        <w:rPr>
          <w:rFonts w:ascii="Times New Roman" w:hAnsi="Times New Roman" w:cs="Times New Roman"/>
          <w:sz w:val="24"/>
          <w:szCs w:val="24"/>
        </w:rPr>
        <w:t>Introduction</w:t>
      </w:r>
    </w:p>
    <w:p w14:paraId="43814C9E" w14:textId="6BEC8E1B"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The next generation of leaders, teachers, nurses, engineers, pilots, cybersecurity experts, among other professional careers, is made up of the current generation of young adults. The cycle of life dictates that the adults will grow old and weak and be replaced by the younger generation full of energy, vigour, and knowledge</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Armstrong, 2016)</w:t>
      </w:r>
      <w:r w:rsidRPr="00EA5106">
        <w:rPr>
          <w:rFonts w:ascii="Times New Roman" w:hAnsi="Times New Roman" w:cs="Times New Roman"/>
          <w:sz w:val="24"/>
          <w:szCs w:val="24"/>
        </w:rPr>
        <w:t>. It is said that the old are wise, but in truth, the old have experienced while the young have more knowledge. This idea holds that the younger generation displays more wisdom up to a certain age than the old. A good example is how technology changes from one generation to the other such that the young generation almost always enjoys new and improved ways of doing things. In the early 2000s, people communicated using mobile phones, and internet access were accessible on computers. Twenty years later, people are using smartphones for communication, and the internet is accessible on multiple devices fitted with sensors</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Armstrong,</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2016)</w:t>
      </w:r>
      <w:r w:rsidRPr="00EA5106">
        <w:rPr>
          <w:rFonts w:ascii="Times New Roman" w:hAnsi="Times New Roman" w:cs="Times New Roman"/>
          <w:sz w:val="24"/>
          <w:szCs w:val="24"/>
        </w:rPr>
        <w:t>. Passing knowledge to adult students gives room to the improvement that people have experienced over the year. Adult students learn knowledge used by the current old generation to run things and use them to develop better, improved, and efficient ways to do things. Therefore, teachers must adopt the best strategies for teaching student adults to maintain the trend of invention and innovation.</w:t>
      </w:r>
    </w:p>
    <w:p w14:paraId="5265147A" w14:textId="77777777" w:rsidR="00EA5106" w:rsidRPr="00EA5106" w:rsidRDefault="00EA5106" w:rsidP="0003183F">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Develop a learning structure</w:t>
      </w:r>
    </w:p>
    <w:p w14:paraId="0ACF6650" w14:textId="51141409"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Student adults are exposed and have access to a lot of information thanks to the internet technology. Students can learn and develop skills in almost any field in a matter of days because a lot of knowledge is accessible over the internet. Therefore, a teacher must develop a learning structure that allows the student adults to see the relevance of their learning.  In this strategy, the teacher is expected to communicate with the student adults and inform them why learning something is important</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Kyriakoulis</w:t>
      </w:r>
      <w:r w:rsidR="00095759">
        <w:rPr>
          <w:rFonts w:ascii="Times New Roman" w:hAnsi="Times New Roman" w:cs="Times New Roman"/>
          <w:sz w:val="24"/>
          <w:szCs w:val="24"/>
        </w:rPr>
        <w:t xml:space="preserve"> et al., 2016)</w:t>
      </w:r>
      <w:r w:rsidRPr="00EA5106">
        <w:rPr>
          <w:rFonts w:ascii="Times New Roman" w:hAnsi="Times New Roman" w:cs="Times New Roman"/>
          <w:sz w:val="24"/>
          <w:szCs w:val="24"/>
        </w:rPr>
        <w:t xml:space="preserve">. One way of </w:t>
      </w:r>
      <w:r w:rsidRPr="00EA5106">
        <w:rPr>
          <w:rFonts w:ascii="Times New Roman" w:hAnsi="Times New Roman" w:cs="Times New Roman"/>
          <w:sz w:val="24"/>
          <w:szCs w:val="24"/>
        </w:rPr>
        <w:lastRenderedPageBreak/>
        <w:t>getting through to the students is by understanding their goals and developing a strategy that gives them the big picture and informs them how the knowledge they are gaining fits in.</w:t>
      </w:r>
    </w:p>
    <w:p w14:paraId="5194C44F" w14:textId="14EBFB12"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strategy's significance is that it gives student adults the motivation and dream to learn to attain their goals. The learning process is designed to communicate directly to the student adults by touching on past experiences, which allows the learners to relate their experiences and knowledge with regards to the topic in question</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Horntvedt</w:t>
      </w:r>
      <w:r w:rsidR="00095759">
        <w:rPr>
          <w:rFonts w:ascii="Times New Roman" w:hAnsi="Times New Roman" w:cs="Times New Roman"/>
          <w:sz w:val="24"/>
          <w:szCs w:val="24"/>
        </w:rPr>
        <w:t xml:space="preserve"> et al., 2018)</w:t>
      </w:r>
      <w:r w:rsidRPr="00EA5106">
        <w:rPr>
          <w:rFonts w:ascii="Times New Roman" w:hAnsi="Times New Roman" w:cs="Times New Roman"/>
          <w:sz w:val="24"/>
          <w:szCs w:val="24"/>
        </w:rPr>
        <w:t>. The learning structure also breaks the monotony of learning by integrating different learning techniques such as lecture, hands-on and question, and answer.</w:t>
      </w:r>
    </w:p>
    <w:p w14:paraId="533BDBD9" w14:textId="77777777" w:rsidR="00EA5106" w:rsidRPr="00EA5106" w:rsidRDefault="00EA5106" w:rsidP="00307231">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Controlling the learning environment</w:t>
      </w:r>
    </w:p>
    <w:p w14:paraId="3A6DE2CF" w14:textId="0FF0F54A"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Teaching is not complete without a learning environment, which in most cases, is school. An environment can have a positive, negative, or no impact on the learning of young adults. The learning environment of young adults should be controlled to maximize the ability of learners to concentrate on what is being taught</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Wibowo, Syafrizal &amp; Syafryadin, 2020)</w:t>
      </w:r>
      <w:r w:rsidRPr="00EA5106">
        <w:rPr>
          <w:rFonts w:ascii="Times New Roman" w:hAnsi="Times New Roman" w:cs="Times New Roman"/>
          <w:sz w:val="24"/>
          <w:szCs w:val="24"/>
        </w:rPr>
        <w:t>. For most teachers, the fact the students are in school makes them assume that they are in the best possible learning environment. This might be true, but we have to consider that many learning environments impact the overall learning process. For example, a school located in a neighbourhood with frequent gun violence is not appropriate for learning because the concentration of student adults and the teacher will often get carried away.</w:t>
      </w:r>
    </w:p>
    <w:p w14:paraId="24A2E3E9" w14:textId="4E09AABD"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 proposes the creation of a risk-free environment where student adults are free to participate. The teacher should ensure that the spotlight is moved from the tutor towards the student and ensuring that they are autonomous and self-directing in search of knowledge. This strategy is perfect in that it allows the teacher to act as a facilitator and the student adults are able to work together as resources. Student adults are free to challenge and debate on ideas and concepts</w:t>
      </w:r>
      <w:r w:rsidR="001A12FE">
        <w:rPr>
          <w:rFonts w:ascii="Times New Roman" w:hAnsi="Times New Roman" w:cs="Times New Roman"/>
          <w:sz w:val="24"/>
          <w:szCs w:val="24"/>
        </w:rPr>
        <w:t xml:space="preserve"> (</w:t>
      </w:r>
      <w:r w:rsidR="001A12FE" w:rsidRPr="00095759">
        <w:rPr>
          <w:rFonts w:ascii="Times New Roman" w:hAnsi="Times New Roman" w:cs="Times New Roman"/>
          <w:sz w:val="24"/>
          <w:szCs w:val="24"/>
        </w:rPr>
        <w:t>Horntvedt</w:t>
      </w:r>
      <w:r w:rsidR="001A12FE">
        <w:rPr>
          <w:rFonts w:ascii="Times New Roman" w:hAnsi="Times New Roman" w:cs="Times New Roman"/>
          <w:sz w:val="24"/>
          <w:szCs w:val="24"/>
        </w:rPr>
        <w:t xml:space="preserve"> et al., 2018)</w:t>
      </w:r>
      <w:r w:rsidRPr="00EA5106">
        <w:rPr>
          <w:rFonts w:ascii="Times New Roman" w:hAnsi="Times New Roman" w:cs="Times New Roman"/>
          <w:sz w:val="24"/>
          <w:szCs w:val="24"/>
        </w:rPr>
        <w:t xml:space="preserve">. Student adults have clearly defined goals, objectives, and agenda; thus, there is a need to stay focused to gain the most. The </w:t>
      </w:r>
      <w:r w:rsidRPr="00EA5106">
        <w:rPr>
          <w:rFonts w:ascii="Times New Roman" w:hAnsi="Times New Roman" w:cs="Times New Roman"/>
          <w:sz w:val="24"/>
          <w:szCs w:val="24"/>
        </w:rPr>
        <w:lastRenderedPageBreak/>
        <w:t>facilitator and other learners are able to clear doubts, fears, and answer questions posed by student adults before the introduction of a new topic.</w:t>
      </w:r>
    </w:p>
    <w:p w14:paraId="180E2AC7" w14:textId="77777777" w:rsidR="00EA5106" w:rsidRPr="00EA5106" w:rsidRDefault="00EA5106" w:rsidP="00307231">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Controlling of the learning activity</w:t>
      </w:r>
    </w:p>
    <w:p w14:paraId="728BD28E" w14:textId="6E399322"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 capitalizes on the nature of student adults who are problem-cantered. This means that the facilitator should consider changing the approach from data dumping to a more involving and problem-</w:t>
      </w:r>
      <w:r w:rsidR="00095759" w:rsidRPr="00EA5106">
        <w:rPr>
          <w:rFonts w:ascii="Times New Roman" w:hAnsi="Times New Roman" w:cs="Times New Roman"/>
          <w:sz w:val="24"/>
          <w:szCs w:val="24"/>
        </w:rPr>
        <w:t>cantered</w:t>
      </w:r>
      <w:r w:rsidRPr="00EA5106">
        <w:rPr>
          <w:rFonts w:ascii="Times New Roman" w:hAnsi="Times New Roman" w:cs="Times New Roman"/>
          <w:sz w:val="24"/>
          <w:szCs w:val="24"/>
        </w:rPr>
        <w:t xml:space="preserve"> approach. The facilitator is expected to structure the learning activity to encourage adult students to explore or use task-</w:t>
      </w:r>
      <w:r w:rsidR="00095759" w:rsidRPr="00EA5106">
        <w:rPr>
          <w:rFonts w:ascii="Times New Roman" w:hAnsi="Times New Roman" w:cs="Times New Roman"/>
          <w:sz w:val="24"/>
          <w:szCs w:val="24"/>
        </w:rPr>
        <w:t>cantered</w:t>
      </w:r>
      <w:r w:rsidRPr="00EA5106">
        <w:rPr>
          <w:rFonts w:ascii="Times New Roman" w:hAnsi="Times New Roman" w:cs="Times New Roman"/>
          <w:sz w:val="24"/>
          <w:szCs w:val="24"/>
        </w:rPr>
        <w:t xml:space="preserve"> approaches</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Carreira, 2016)</w:t>
      </w:r>
      <w:r w:rsidRPr="00EA5106">
        <w:rPr>
          <w:rFonts w:ascii="Times New Roman" w:hAnsi="Times New Roman" w:cs="Times New Roman"/>
          <w:sz w:val="24"/>
          <w:szCs w:val="24"/>
        </w:rPr>
        <w:t>. When using this strategy, facilitators are encouraged to apply the knowledge being taught on real-world problems. This allows the student adults to understand how the knowledge is applied immediately, and the facilitator is able to provide immediate feedback such that the student adults learn from mistakes. Often, adults are egocentric, and this might prevent them from asking questions on the topic. Thus, the facilitator is expected to gauge student adults' reactions to determine if they understood the topic before moving on.</w:t>
      </w:r>
    </w:p>
    <w:p w14:paraId="79198F9D" w14:textId="77777777" w:rsidR="00EA5106" w:rsidRPr="00EA5106" w:rsidRDefault="00EA5106" w:rsidP="00C55CFE">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Conclusion</w:t>
      </w:r>
    </w:p>
    <w:p w14:paraId="4C858EF6" w14:textId="3FC87757" w:rsidR="00FD410A" w:rsidRDefault="00EA5106" w:rsidP="00307231">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There are many approaches that teachers might use while imparting knowledge to adults. These strategies are likely to bear fruits because each comes with its own set of pros and cons. I feel that the interaction between student adults and their facilitator plays a critical role in the learning process. Student adults are mature and able to make their decisions on different issues. Therefore, the teacher should desist from treating them like children and learn to treat them as equals. Facilitators demand a lot of attention and concentration from student adults.</w:t>
      </w:r>
      <w:r w:rsidR="00307231">
        <w:rPr>
          <w:rFonts w:ascii="Times New Roman" w:hAnsi="Times New Roman" w:cs="Times New Roman"/>
          <w:sz w:val="24"/>
          <w:szCs w:val="24"/>
        </w:rPr>
        <w:t xml:space="preserve"> </w:t>
      </w:r>
      <w:r w:rsidRPr="00EA5106">
        <w:rPr>
          <w:rFonts w:ascii="Times New Roman" w:hAnsi="Times New Roman" w:cs="Times New Roman"/>
          <w:sz w:val="24"/>
          <w:szCs w:val="24"/>
        </w:rPr>
        <w:t>Similarly, the facilitators should learn to listen to and respect the opinions of student adults. Finally, the facilitators should understand that student adults have a life and are preoccupied with many things apart from learning. Often, these occupations, such as part-time jobs, might get in the way of learning, especially when there is a conflict of interest.</w:t>
      </w:r>
    </w:p>
    <w:p w14:paraId="308343FE" w14:textId="36D43B32" w:rsidR="00095759" w:rsidRDefault="00095759" w:rsidP="00EA5106">
      <w:pPr>
        <w:spacing w:line="480" w:lineRule="auto"/>
        <w:ind w:firstLine="720"/>
        <w:contextualSpacing/>
        <w:rPr>
          <w:rFonts w:ascii="Times New Roman" w:hAnsi="Times New Roman" w:cs="Times New Roman"/>
          <w:sz w:val="24"/>
          <w:szCs w:val="24"/>
        </w:rPr>
      </w:pPr>
    </w:p>
    <w:p w14:paraId="06EFB16D" w14:textId="34766848" w:rsidR="00095759" w:rsidRDefault="00095759" w:rsidP="00EA5106">
      <w:pPr>
        <w:spacing w:line="480" w:lineRule="auto"/>
        <w:ind w:firstLine="720"/>
        <w:contextualSpacing/>
        <w:rPr>
          <w:rFonts w:ascii="Times New Roman" w:hAnsi="Times New Roman" w:cs="Times New Roman"/>
          <w:sz w:val="24"/>
          <w:szCs w:val="24"/>
        </w:rPr>
      </w:pPr>
    </w:p>
    <w:p w14:paraId="3D8B6926" w14:textId="4530D3E1" w:rsidR="00095759" w:rsidRDefault="00095759" w:rsidP="0009575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 </w:t>
      </w:r>
    </w:p>
    <w:p w14:paraId="41E1A7D4" w14:textId="03BE6E54"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Armstrong, T. (2016). </w:t>
      </w:r>
      <w:r w:rsidRPr="00095759">
        <w:rPr>
          <w:rFonts w:ascii="Times New Roman" w:hAnsi="Times New Roman" w:cs="Times New Roman"/>
          <w:i/>
          <w:iCs/>
          <w:sz w:val="24"/>
          <w:szCs w:val="24"/>
        </w:rPr>
        <w:t>The power of the adolescent brain: Strategies for teaching middle and high school students</w:t>
      </w:r>
      <w:r w:rsidRPr="00095759">
        <w:rPr>
          <w:rFonts w:ascii="Times New Roman" w:hAnsi="Times New Roman" w:cs="Times New Roman"/>
          <w:sz w:val="24"/>
          <w:szCs w:val="24"/>
        </w:rPr>
        <w:t>. ASCD.</w:t>
      </w:r>
    </w:p>
    <w:p w14:paraId="296C22E8" w14:textId="3483DDD3"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Carreira, M. (2016). A general framework and supporting strategies for teaching mixed classes. </w:t>
      </w:r>
      <w:r w:rsidRPr="00095759">
        <w:rPr>
          <w:rFonts w:ascii="Times New Roman" w:hAnsi="Times New Roman" w:cs="Times New Roman"/>
          <w:i/>
          <w:iCs/>
          <w:sz w:val="24"/>
          <w:szCs w:val="24"/>
        </w:rPr>
        <w:t>Advances in Spanish as a heritage language</w:t>
      </w:r>
      <w:r w:rsidRPr="00095759">
        <w:rPr>
          <w:rFonts w:ascii="Times New Roman" w:hAnsi="Times New Roman" w:cs="Times New Roman"/>
          <w:sz w:val="24"/>
          <w:szCs w:val="24"/>
        </w:rPr>
        <w:t>, </w:t>
      </w:r>
      <w:r w:rsidRPr="00095759">
        <w:rPr>
          <w:rFonts w:ascii="Times New Roman" w:hAnsi="Times New Roman" w:cs="Times New Roman"/>
          <w:i/>
          <w:iCs/>
          <w:sz w:val="24"/>
          <w:szCs w:val="24"/>
        </w:rPr>
        <w:t>49</w:t>
      </w:r>
      <w:r w:rsidRPr="00095759">
        <w:rPr>
          <w:rFonts w:ascii="Times New Roman" w:hAnsi="Times New Roman" w:cs="Times New Roman"/>
          <w:sz w:val="24"/>
          <w:szCs w:val="24"/>
        </w:rPr>
        <w:t>, 159-176.</w:t>
      </w:r>
    </w:p>
    <w:p w14:paraId="7D3D4A55" w14:textId="008FD85D"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Horntvedt, M. E. T., Nordsteien, A., Fermann, T., &amp; Severinsson, E. (2018). Strategies for teaching evidence-based practice in nursing education: a thematic literature review. </w:t>
      </w:r>
      <w:r w:rsidRPr="00095759">
        <w:rPr>
          <w:rFonts w:ascii="Times New Roman" w:hAnsi="Times New Roman" w:cs="Times New Roman"/>
          <w:i/>
          <w:iCs/>
          <w:sz w:val="24"/>
          <w:szCs w:val="24"/>
        </w:rPr>
        <w:t>BMC medical education</w:t>
      </w:r>
      <w:r w:rsidRPr="00095759">
        <w:rPr>
          <w:rFonts w:ascii="Times New Roman" w:hAnsi="Times New Roman" w:cs="Times New Roman"/>
          <w:sz w:val="24"/>
          <w:szCs w:val="24"/>
        </w:rPr>
        <w:t>, </w:t>
      </w:r>
      <w:r w:rsidRPr="00095759">
        <w:rPr>
          <w:rFonts w:ascii="Times New Roman" w:hAnsi="Times New Roman" w:cs="Times New Roman"/>
          <w:i/>
          <w:iCs/>
          <w:sz w:val="24"/>
          <w:szCs w:val="24"/>
        </w:rPr>
        <w:t>18</w:t>
      </w:r>
      <w:r w:rsidRPr="00095759">
        <w:rPr>
          <w:rFonts w:ascii="Times New Roman" w:hAnsi="Times New Roman" w:cs="Times New Roman"/>
          <w:sz w:val="24"/>
          <w:szCs w:val="24"/>
        </w:rPr>
        <w:t>(1), 172.</w:t>
      </w:r>
    </w:p>
    <w:p w14:paraId="1CA318DF" w14:textId="5EDF9C86"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Kyriakoulis, K., Patelarou, A., Laliotis, A., Wan, A. C., Matalliotakis, M., Tsiou, C., &amp; Patelarou, E. (2016). Educational strategies for teaching evidence-based practice to undergraduate health students: systematic review. </w:t>
      </w:r>
      <w:r w:rsidRPr="00095759">
        <w:rPr>
          <w:rFonts w:ascii="Times New Roman" w:hAnsi="Times New Roman" w:cs="Times New Roman"/>
          <w:i/>
          <w:iCs/>
          <w:sz w:val="24"/>
          <w:szCs w:val="24"/>
        </w:rPr>
        <w:t>Journal of Educational Evaluation for Health Professions</w:t>
      </w:r>
      <w:r w:rsidRPr="00095759">
        <w:rPr>
          <w:rFonts w:ascii="Times New Roman" w:hAnsi="Times New Roman" w:cs="Times New Roman"/>
          <w:sz w:val="24"/>
          <w:szCs w:val="24"/>
        </w:rPr>
        <w:t>, </w:t>
      </w:r>
      <w:r w:rsidRPr="00095759">
        <w:rPr>
          <w:rFonts w:ascii="Times New Roman" w:hAnsi="Times New Roman" w:cs="Times New Roman"/>
          <w:i/>
          <w:iCs/>
          <w:sz w:val="24"/>
          <w:szCs w:val="24"/>
        </w:rPr>
        <w:t>13</w:t>
      </w:r>
      <w:r w:rsidRPr="00095759">
        <w:rPr>
          <w:rFonts w:ascii="Times New Roman" w:hAnsi="Times New Roman" w:cs="Times New Roman"/>
          <w:sz w:val="24"/>
          <w:szCs w:val="24"/>
        </w:rPr>
        <w:t>.</w:t>
      </w:r>
    </w:p>
    <w:p w14:paraId="4384A575" w14:textId="57D04AA1" w:rsidR="00095759" w:rsidRPr="00EA5106"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Wibowo, Y., Syafrizal, S., &amp; Syafryadin, S. (2020). An analysis of English teachers’ strategies in teaching reading Comprehension. </w:t>
      </w:r>
      <w:r w:rsidRPr="00095759">
        <w:rPr>
          <w:rFonts w:ascii="Times New Roman" w:hAnsi="Times New Roman" w:cs="Times New Roman"/>
          <w:i/>
          <w:iCs/>
          <w:sz w:val="24"/>
          <w:szCs w:val="24"/>
        </w:rPr>
        <w:t>JALL (Journal of Applied Linguistics and Literacy)</w:t>
      </w:r>
      <w:r w:rsidRPr="00095759">
        <w:rPr>
          <w:rFonts w:ascii="Times New Roman" w:hAnsi="Times New Roman" w:cs="Times New Roman"/>
          <w:sz w:val="24"/>
          <w:szCs w:val="24"/>
        </w:rPr>
        <w:t>, </w:t>
      </w:r>
      <w:r w:rsidRPr="00095759">
        <w:rPr>
          <w:rFonts w:ascii="Times New Roman" w:hAnsi="Times New Roman" w:cs="Times New Roman"/>
          <w:i/>
          <w:iCs/>
          <w:sz w:val="24"/>
          <w:szCs w:val="24"/>
        </w:rPr>
        <w:t>4</w:t>
      </w:r>
      <w:r w:rsidRPr="00095759">
        <w:rPr>
          <w:rFonts w:ascii="Times New Roman" w:hAnsi="Times New Roman" w:cs="Times New Roman"/>
          <w:sz w:val="24"/>
          <w:szCs w:val="24"/>
        </w:rPr>
        <w:t>(1), 20-27.</w:t>
      </w:r>
    </w:p>
    <w:sectPr w:rsidR="00095759" w:rsidRPr="00EA5106" w:rsidSect="004D01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BF124" w14:textId="77777777" w:rsidR="0070145E" w:rsidRDefault="0070145E" w:rsidP="004D0182">
      <w:pPr>
        <w:spacing w:after="0" w:line="240" w:lineRule="auto"/>
      </w:pPr>
      <w:r>
        <w:separator/>
      </w:r>
    </w:p>
  </w:endnote>
  <w:endnote w:type="continuationSeparator" w:id="0">
    <w:p w14:paraId="7922B03E" w14:textId="77777777" w:rsidR="0070145E" w:rsidRDefault="0070145E" w:rsidP="004D0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9BCA6" w14:textId="77777777" w:rsidR="0070145E" w:rsidRDefault="0070145E" w:rsidP="004D0182">
      <w:pPr>
        <w:spacing w:after="0" w:line="240" w:lineRule="auto"/>
      </w:pPr>
      <w:r>
        <w:separator/>
      </w:r>
    </w:p>
  </w:footnote>
  <w:footnote w:type="continuationSeparator" w:id="0">
    <w:p w14:paraId="371967B6" w14:textId="77777777" w:rsidR="0070145E" w:rsidRDefault="0070145E" w:rsidP="004D0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BE2C" w14:textId="7EBE5D37" w:rsidR="004D0182" w:rsidRPr="004D0182" w:rsidRDefault="004D0182">
    <w:pPr>
      <w:pStyle w:val="Header"/>
      <w:rPr>
        <w:rFonts w:ascii="Times New Roman" w:hAnsi="Times New Roman" w:cs="Times New Roman"/>
        <w:sz w:val="24"/>
        <w:szCs w:val="24"/>
      </w:rPr>
    </w:pPr>
    <w:r w:rsidRPr="004D0182">
      <w:rPr>
        <w:rFonts w:ascii="Times New Roman" w:hAnsi="Times New Roman" w:cs="Times New Roman"/>
        <w:sz w:val="24"/>
        <w:szCs w:val="24"/>
      </w:rPr>
      <w:t>TEACHING ADULTS</w:t>
    </w:r>
    <w:r w:rsidRPr="004D0182">
      <w:rPr>
        <w:rFonts w:ascii="Times New Roman" w:hAnsi="Times New Roman" w:cs="Times New Roman"/>
        <w:sz w:val="24"/>
        <w:szCs w:val="24"/>
      </w:rPr>
      <w:tab/>
    </w:r>
    <w:r w:rsidRPr="004D0182">
      <w:rPr>
        <w:rFonts w:ascii="Times New Roman" w:hAnsi="Times New Roman" w:cs="Times New Roman"/>
        <w:sz w:val="24"/>
        <w:szCs w:val="24"/>
      </w:rPr>
      <w:tab/>
    </w:r>
    <w:r w:rsidRPr="004D0182">
      <w:rPr>
        <w:rFonts w:ascii="Times New Roman" w:hAnsi="Times New Roman" w:cs="Times New Roman"/>
        <w:sz w:val="24"/>
        <w:szCs w:val="24"/>
      </w:rPr>
      <w:fldChar w:fldCharType="begin"/>
    </w:r>
    <w:r w:rsidRPr="004D0182">
      <w:rPr>
        <w:rFonts w:ascii="Times New Roman" w:hAnsi="Times New Roman" w:cs="Times New Roman"/>
        <w:sz w:val="24"/>
        <w:szCs w:val="24"/>
      </w:rPr>
      <w:instrText xml:space="preserve"> PAGE   \* MERGEFORMAT </w:instrText>
    </w:r>
    <w:r w:rsidRPr="004D0182">
      <w:rPr>
        <w:rFonts w:ascii="Times New Roman" w:hAnsi="Times New Roman" w:cs="Times New Roman"/>
        <w:sz w:val="24"/>
        <w:szCs w:val="24"/>
      </w:rPr>
      <w:fldChar w:fldCharType="separate"/>
    </w:r>
    <w:r w:rsidR="00A97EB3">
      <w:rPr>
        <w:rFonts w:ascii="Times New Roman" w:hAnsi="Times New Roman" w:cs="Times New Roman"/>
        <w:noProof/>
        <w:sz w:val="24"/>
        <w:szCs w:val="24"/>
      </w:rPr>
      <w:t>2</w:t>
    </w:r>
    <w:r w:rsidRPr="004D018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FACA" w14:textId="6F02942F" w:rsidR="004D0182" w:rsidRPr="004D0182" w:rsidRDefault="004D0182" w:rsidP="004D0182">
    <w:pPr>
      <w:pStyle w:val="Header"/>
      <w:rPr>
        <w:rFonts w:ascii="Times New Roman" w:hAnsi="Times New Roman" w:cs="Times New Roman"/>
        <w:sz w:val="24"/>
        <w:szCs w:val="24"/>
      </w:rPr>
    </w:pPr>
    <w:r w:rsidRPr="004D0182">
      <w:rPr>
        <w:rFonts w:ascii="Times New Roman" w:hAnsi="Times New Roman" w:cs="Times New Roman"/>
        <w:sz w:val="24"/>
        <w:szCs w:val="24"/>
      </w:rPr>
      <w:t>Running head: TEACHING ADULTS</w:t>
    </w:r>
    <w:r w:rsidRPr="004D0182">
      <w:rPr>
        <w:rFonts w:ascii="Times New Roman" w:hAnsi="Times New Roman" w:cs="Times New Roman"/>
        <w:sz w:val="24"/>
        <w:szCs w:val="24"/>
      </w:rPr>
      <w:tab/>
    </w:r>
    <w:r w:rsidRPr="004D0182">
      <w:rPr>
        <w:rFonts w:ascii="Times New Roman" w:hAnsi="Times New Roman" w:cs="Times New Roman"/>
        <w:sz w:val="24"/>
        <w:szCs w:val="24"/>
      </w:rPr>
      <w:tab/>
    </w:r>
    <w:r w:rsidRPr="004D0182">
      <w:rPr>
        <w:rFonts w:ascii="Times New Roman" w:hAnsi="Times New Roman" w:cs="Times New Roman"/>
        <w:sz w:val="24"/>
        <w:szCs w:val="24"/>
      </w:rPr>
      <w:fldChar w:fldCharType="begin"/>
    </w:r>
    <w:r w:rsidRPr="004D0182">
      <w:rPr>
        <w:rFonts w:ascii="Times New Roman" w:hAnsi="Times New Roman" w:cs="Times New Roman"/>
        <w:sz w:val="24"/>
        <w:szCs w:val="24"/>
      </w:rPr>
      <w:instrText xml:space="preserve"> PAGE   \* MERGEFORMAT </w:instrText>
    </w:r>
    <w:r w:rsidRPr="004D0182">
      <w:rPr>
        <w:rFonts w:ascii="Times New Roman" w:hAnsi="Times New Roman" w:cs="Times New Roman"/>
        <w:sz w:val="24"/>
        <w:szCs w:val="24"/>
      </w:rPr>
      <w:fldChar w:fldCharType="separate"/>
    </w:r>
    <w:r w:rsidR="00C55CFE">
      <w:rPr>
        <w:rFonts w:ascii="Times New Roman" w:hAnsi="Times New Roman" w:cs="Times New Roman"/>
        <w:noProof/>
        <w:sz w:val="24"/>
        <w:szCs w:val="24"/>
      </w:rPr>
      <w:t>1</w:t>
    </w:r>
    <w:r w:rsidRPr="004D0182">
      <w:rPr>
        <w:rFonts w:ascii="Times New Roman" w:hAnsi="Times New Roman" w:cs="Times New Roman"/>
        <w:noProof/>
        <w:sz w:val="24"/>
        <w:szCs w:val="24"/>
      </w:rPr>
      <w:fldChar w:fldCharType="end"/>
    </w:r>
  </w:p>
  <w:p w14:paraId="0F58C509" w14:textId="77777777" w:rsidR="004D0182" w:rsidRDefault="004D01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F0"/>
    <w:rsid w:val="0003183F"/>
    <w:rsid w:val="00066D8E"/>
    <w:rsid w:val="00095759"/>
    <w:rsid w:val="000D5033"/>
    <w:rsid w:val="001A12FE"/>
    <w:rsid w:val="002157A1"/>
    <w:rsid w:val="003054F0"/>
    <w:rsid w:val="00307231"/>
    <w:rsid w:val="003C3372"/>
    <w:rsid w:val="00442FB7"/>
    <w:rsid w:val="004D0182"/>
    <w:rsid w:val="005F1CCA"/>
    <w:rsid w:val="0062206A"/>
    <w:rsid w:val="0070145E"/>
    <w:rsid w:val="00816C98"/>
    <w:rsid w:val="00A80942"/>
    <w:rsid w:val="00A97EB3"/>
    <w:rsid w:val="00AC5F8F"/>
    <w:rsid w:val="00C27A07"/>
    <w:rsid w:val="00C3363A"/>
    <w:rsid w:val="00C55CFE"/>
    <w:rsid w:val="00EA5106"/>
    <w:rsid w:val="00F756D0"/>
    <w:rsid w:val="00FD4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C137"/>
  <w15:chartTrackingRefBased/>
  <w15:docId w15:val="{7A1FDA40-FC19-426B-8D49-8715C596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182"/>
  </w:style>
  <w:style w:type="paragraph" w:styleId="Footer">
    <w:name w:val="footer"/>
    <w:basedOn w:val="Normal"/>
    <w:link w:val="FooterChar"/>
    <w:uiPriority w:val="99"/>
    <w:unhideWhenUsed/>
    <w:rsid w:val="004D0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2020-10-21T18:57:00Z</dcterms:created>
  <dcterms:modified xsi:type="dcterms:W3CDTF">2020-10-21T18:57:00Z</dcterms:modified>
</cp:coreProperties>
</file>